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Marque : YAMAHA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Produit : DXS18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Référence : DXS18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Description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Yamaha DXS18 Caisson de basses actif avec woofer de 18", alimenté par un amplificateur de classe D pour délivrer une puissance de 1020W. Il offre un rapport en fréquences incroyable de 32Hz - 120 Hz, les plus belles basses fréquences du marché ! Parfaitement adapté aux musiques modernes et aux DJ en particulier.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Caractéristiques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Yamaha DXS18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Caisson de basses amplifié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Amplification Classe D 1020W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Boomer 18“, bobine 4“ SPL max (IEC noise@1m): 136 dB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Réponse en fréquences (-10dB): 32Hz - 120 Hz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Traitements DSP 48 bits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Fonction D-XSUB avec positions Boost et Extended LF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Filtre passe bas réglable (80, 100, 120 Hz)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Mode cardioïde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Protection DSP des HP, amplification et alimentation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Monitoring par LED en façade désactivable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 entrées XLR, 2 sorties XLR Thru/Post HPF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Phase inversable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Boomer spécifique Coque bois, finition granite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Puits de couplage 35mm et insert M20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Dimensions (LxHxP) : 563 x 683 x 721 mm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Poids : 49,7 kg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8B34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8B34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8B34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8B34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8B34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8B346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8B346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8B346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8B346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8B346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8B346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8B346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8B346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8B3461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8B3461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8B3461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8B3461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8B3461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8B346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8B346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8B346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8B346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8B346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8B3461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8B3461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8B3461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B34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B3461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8B346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cCC+KuTmH8wI7husfaIeJ4WcQ==">CgMxLjA4AHIhMVA2M0E0QVZRblFwajZHZjlFZGxESnpSMVN6QlNVQkdu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2024-12-12T10:48:00Z</dcterms:created>
  <dc:creator>Lydie Chartier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0x010100C9056CDB91E7FB4E86DA7852D01C4803</vt:lpwstr>
  </property>
</Properties>
</file>